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3FF1" w:rsidRDefault="001E7994">
      <w:pPr>
        <w:pStyle w:val="a3"/>
        <w:spacing w:before="0" w:beforeAutospacing="0" w:after="0" w:afterAutospacing="0" w:line="600" w:lineRule="exact"/>
        <w:jc w:val="center"/>
        <w:rPr>
          <w:rFonts w:ascii="Times New Roman" w:eastAsia="方正小标宋_GBK" w:hAnsi="Times New Roman"/>
          <w:sz w:val="36"/>
          <w:szCs w:val="36"/>
        </w:rPr>
      </w:pPr>
      <w:r>
        <w:rPr>
          <w:rFonts w:ascii="仿宋_GB2312" w:eastAsia="仿宋_GB2312" w:hAnsi="仿宋_GB2312" w:cs="仿宋_GB2312" w:hint="eastAsia"/>
          <w:b/>
          <w:bCs/>
          <w:sz w:val="44"/>
          <w:szCs w:val="44"/>
        </w:rPr>
        <w:t>港口和船舶岸电管理办法</w:t>
      </w:r>
    </w:p>
    <w:p w:rsidR="00C63FF1" w:rsidRDefault="001E7994">
      <w:pPr>
        <w:pStyle w:val="a3"/>
        <w:spacing w:before="0" w:beforeAutospacing="0" w:after="0" w:afterAutospacing="0" w:line="580" w:lineRule="exact"/>
        <w:jc w:val="center"/>
        <w:rPr>
          <w:rFonts w:ascii="Times New Roman" w:eastAsia="楷体" w:hAnsi="Times New Roman"/>
          <w:sz w:val="32"/>
          <w:szCs w:val="36"/>
        </w:rPr>
      </w:pPr>
      <w:r>
        <w:rPr>
          <w:rFonts w:ascii="Times New Roman" w:eastAsia="楷体" w:hAnsi="Times New Roman"/>
          <w:sz w:val="32"/>
          <w:szCs w:val="36"/>
        </w:rPr>
        <w:t>（</w:t>
      </w:r>
      <w:r>
        <w:rPr>
          <w:rFonts w:ascii="Times New Roman" w:eastAsia="楷体" w:hAnsi="Times New Roman" w:hint="eastAsia"/>
          <w:sz w:val="32"/>
          <w:szCs w:val="36"/>
        </w:rPr>
        <w:t>修订草案征求意见稿</w:t>
      </w:r>
      <w:r>
        <w:rPr>
          <w:rFonts w:ascii="Times New Roman" w:eastAsia="楷体" w:hAnsi="Times New Roman"/>
          <w:sz w:val="32"/>
          <w:szCs w:val="36"/>
        </w:rPr>
        <w:t>）</w:t>
      </w:r>
    </w:p>
    <w:p w:rsidR="00C63FF1" w:rsidRDefault="00C63FF1">
      <w:pPr>
        <w:pStyle w:val="a3"/>
        <w:spacing w:before="0" w:beforeAutospacing="0" w:after="0" w:afterAutospacing="0" w:line="580" w:lineRule="exact"/>
        <w:jc w:val="center"/>
        <w:rPr>
          <w:rFonts w:ascii="Times New Roman" w:eastAsia="楷体" w:hAnsi="Times New Roman"/>
          <w:sz w:val="32"/>
          <w:szCs w:val="36"/>
        </w:rPr>
      </w:pPr>
    </w:p>
    <w:p w:rsidR="00C63FF1" w:rsidRDefault="001E7994">
      <w:pPr>
        <w:spacing w:line="360" w:lineRule="auto"/>
        <w:jc w:val="center"/>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第一章</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总</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则</w:t>
      </w:r>
    </w:p>
    <w:p w:rsidR="00C63FF1" w:rsidRDefault="001E7994">
      <w:pPr>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第一条</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为减少船舶靠港期间大气污染物排放，保障船舶靠港安全规范使用岸电，依据《中华人民共和国港口法》《中华人民共和国大气污染防治法》《中华人民共和国长江保护法》等法规的规定，制定本办法。</w:t>
      </w:r>
    </w:p>
    <w:p w:rsidR="00C63FF1" w:rsidRDefault="001E7994">
      <w:pPr>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第二条</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中华人民共和国境内港口和船舶岸电建设、使用及有关活动，应当遵守本办法。</w:t>
      </w:r>
    </w:p>
    <w:p w:rsidR="00C63FF1" w:rsidRDefault="001E7994">
      <w:pPr>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第三条</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交通运输部主管全国港口和船舶岸电建设、使用等工作。</w:t>
      </w:r>
    </w:p>
    <w:p w:rsidR="00C63FF1" w:rsidRDefault="001E799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县级以上地方人民政府交通运输（港口）主管部门按照职责负责辖区水路运输经营者船舶受电设施安装、码头岸电设施建设以及向靠港船舶提供岸电服务等活动的监督管理。</w:t>
      </w:r>
    </w:p>
    <w:p w:rsidR="00C63FF1" w:rsidRDefault="001E799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各级海事管理机构按照职责，负责船舶受电设施安装的监督管理。</w:t>
      </w:r>
    </w:p>
    <w:p w:rsidR="00342239" w:rsidRDefault="001E7994" w:rsidP="00342239">
      <w:pPr>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第四条</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地方各级交通运输（港口）主管部门应当积极争取地方人民政府出台资金补贴、电价优惠等扶持政策，支持码头岸电设施改造和船舶受电设施安装，鼓励船舶靠港使用岸电。</w:t>
      </w:r>
      <w:bookmarkStart w:id="0" w:name="_GoBack"/>
      <w:bookmarkEnd w:id="0"/>
    </w:p>
    <w:p w:rsidR="00C63FF1" w:rsidRDefault="001E7994">
      <w:pPr>
        <w:spacing w:line="360" w:lineRule="auto"/>
        <w:jc w:val="center"/>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第二章</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建设和使用</w:t>
      </w:r>
    </w:p>
    <w:p w:rsidR="00C63FF1" w:rsidRDefault="001E7994">
      <w:pPr>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lastRenderedPageBreak/>
        <w:t>第</w:t>
      </w:r>
      <w:r>
        <w:rPr>
          <w:rFonts w:ascii="仿宋_GB2312" w:eastAsia="仿宋_GB2312" w:hAnsi="仿宋_GB2312" w:cs="仿宋_GB2312" w:hint="eastAsia"/>
          <w:b/>
          <w:bCs/>
          <w:sz w:val="32"/>
          <w:szCs w:val="32"/>
        </w:rPr>
        <w:t>五</w:t>
      </w:r>
      <w:r>
        <w:rPr>
          <w:rFonts w:ascii="仿宋_GB2312" w:eastAsia="仿宋_GB2312" w:hAnsi="仿宋_GB2312" w:cs="仿宋_GB2312" w:hint="eastAsia"/>
          <w:b/>
          <w:bCs/>
          <w:sz w:val="32"/>
          <w:szCs w:val="32"/>
        </w:rPr>
        <w:t>条</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码头工程项目单位应当按照法律法规和强制性标准等要求，对新建、改建、扩建码头工程（油气化工码头除外）同步设计、建设岸电设施。</w:t>
      </w:r>
    </w:p>
    <w:p w:rsidR="00C63FF1" w:rsidRDefault="001E7994">
      <w:pPr>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w:t>
      </w:r>
      <w:r>
        <w:rPr>
          <w:rFonts w:ascii="仿宋_GB2312" w:eastAsia="仿宋_GB2312" w:hAnsi="仿宋_GB2312" w:cs="仿宋_GB2312" w:hint="eastAsia"/>
          <w:b/>
          <w:bCs/>
          <w:sz w:val="32"/>
          <w:szCs w:val="32"/>
        </w:rPr>
        <w:t>六</w:t>
      </w:r>
      <w:r>
        <w:rPr>
          <w:rFonts w:ascii="仿宋_GB2312" w:eastAsia="仿宋_GB2312" w:hAnsi="仿宋_GB2312" w:cs="仿宋_GB2312" w:hint="eastAsia"/>
          <w:b/>
          <w:bCs/>
          <w:sz w:val="32"/>
          <w:szCs w:val="32"/>
        </w:rPr>
        <w:t>条</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港口经营人应当按照法律法规、强制性标准</w:t>
      </w:r>
      <w:r>
        <w:rPr>
          <w:rFonts w:ascii="仿宋_GB2312" w:eastAsia="仿宋_GB2312" w:hAnsi="仿宋_GB2312" w:cs="仿宋_GB2312" w:hint="eastAsia"/>
          <w:sz w:val="32"/>
          <w:szCs w:val="32"/>
        </w:rPr>
        <w:t>和</w:t>
      </w:r>
      <w:r>
        <w:rPr>
          <w:rFonts w:ascii="仿宋_GB2312" w:eastAsia="仿宋_GB2312" w:hAnsi="仿宋_GB2312" w:cs="仿宋_GB2312" w:hint="eastAsia"/>
          <w:sz w:val="32"/>
          <w:szCs w:val="32"/>
        </w:rPr>
        <w:t>国家有关规定，对已建码头（油气化工码头除外）逐步实施岸电设施改造。</w:t>
      </w:r>
    </w:p>
    <w:p w:rsidR="00C63FF1" w:rsidRDefault="001E799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长江流域的港口经营人应当按照所在地人民政府制定的码头岸电设施建设和改造计划实施建设和改造。</w:t>
      </w:r>
    </w:p>
    <w:p w:rsidR="00C63FF1" w:rsidRDefault="001E7994">
      <w:pPr>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w:t>
      </w:r>
      <w:r>
        <w:rPr>
          <w:rFonts w:ascii="仿宋_GB2312" w:eastAsia="仿宋_GB2312" w:hAnsi="仿宋_GB2312" w:cs="仿宋_GB2312" w:hint="eastAsia"/>
          <w:b/>
          <w:bCs/>
          <w:sz w:val="32"/>
          <w:szCs w:val="32"/>
        </w:rPr>
        <w:t>七</w:t>
      </w:r>
      <w:r>
        <w:rPr>
          <w:rFonts w:ascii="仿宋_GB2312" w:eastAsia="仿宋_GB2312" w:hAnsi="仿宋_GB2312" w:cs="仿宋_GB2312" w:hint="eastAsia"/>
          <w:b/>
          <w:bCs/>
          <w:sz w:val="32"/>
          <w:szCs w:val="32"/>
        </w:rPr>
        <w:t>条</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码头岸电设施的供电能力应当与靠泊船舶的用电需求相适应。</w:t>
      </w:r>
    </w:p>
    <w:p w:rsidR="00C63FF1" w:rsidRDefault="001E7994">
      <w:pPr>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w:t>
      </w:r>
      <w:r>
        <w:rPr>
          <w:rFonts w:ascii="仿宋_GB2312" w:eastAsia="仿宋_GB2312" w:hAnsi="仿宋_GB2312" w:cs="仿宋_GB2312" w:hint="eastAsia"/>
          <w:b/>
          <w:bCs/>
          <w:sz w:val="32"/>
          <w:szCs w:val="32"/>
        </w:rPr>
        <w:t>八</w:t>
      </w:r>
      <w:r>
        <w:rPr>
          <w:rFonts w:ascii="仿宋_GB2312" w:eastAsia="仿宋_GB2312" w:hAnsi="仿宋_GB2312" w:cs="仿宋_GB2312" w:hint="eastAsia"/>
          <w:b/>
          <w:bCs/>
          <w:sz w:val="32"/>
          <w:szCs w:val="32"/>
        </w:rPr>
        <w:t>条</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为保障船舶靠港使用岸电安全，码头工程项目单位或者港口经营人在岸电设施投入使用前，应当按照相关强制性标准组织</w:t>
      </w:r>
      <w:r>
        <w:rPr>
          <w:rFonts w:ascii="仿宋_GB2312" w:eastAsia="仿宋_GB2312" w:hAnsi="仿宋_GB2312" w:cs="仿宋_GB2312" w:hint="eastAsia"/>
          <w:sz w:val="32"/>
          <w:szCs w:val="32"/>
        </w:rPr>
        <w:t>对岸电设施检测，其中高压岸电设施投入使用前，应当由具备相应能力的专业机构检测。</w:t>
      </w:r>
    </w:p>
    <w:p w:rsidR="00C63FF1" w:rsidRDefault="001E7994">
      <w:pPr>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w:t>
      </w:r>
      <w:r>
        <w:rPr>
          <w:rFonts w:ascii="仿宋_GB2312" w:eastAsia="仿宋_GB2312" w:hAnsi="仿宋_GB2312" w:cs="仿宋_GB2312" w:hint="eastAsia"/>
          <w:b/>
          <w:bCs/>
          <w:sz w:val="32"/>
          <w:szCs w:val="32"/>
        </w:rPr>
        <w:t>九</w:t>
      </w:r>
      <w:r>
        <w:rPr>
          <w:rFonts w:ascii="仿宋_GB2312" w:eastAsia="仿宋_GB2312" w:hAnsi="仿宋_GB2312" w:cs="仿宋_GB2312" w:hint="eastAsia"/>
          <w:b/>
          <w:bCs/>
          <w:sz w:val="32"/>
          <w:szCs w:val="32"/>
        </w:rPr>
        <w:t>条</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新建和已建中国籍船舶受电设施安装应当符合船舶法定检验技术规则，投入使用前需经船舶检验机构检验合格。</w:t>
      </w:r>
    </w:p>
    <w:p w:rsidR="00C63FF1" w:rsidRDefault="001E7994">
      <w:pPr>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第十条</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在船舶大气污染排放控制区靠泊的中国籍船舶，需要满足大气污染排放要求加装船舶受电设施的，相应水路运输经营者应当制定船舶受电设施安装计划并组织实施。</w:t>
      </w:r>
    </w:p>
    <w:p w:rsidR="00C63FF1" w:rsidRDefault="001E799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长江流域的水路运输经营者应当按照所在地人民政府制定的船舶受电设施建设和改造计划实施建设和改造。</w:t>
      </w:r>
    </w:p>
    <w:p w:rsidR="00C63FF1" w:rsidRDefault="001E7994">
      <w:pPr>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lastRenderedPageBreak/>
        <w:t>第十</w:t>
      </w:r>
      <w:r>
        <w:rPr>
          <w:rFonts w:ascii="仿宋_GB2312" w:eastAsia="仿宋_GB2312" w:hAnsi="仿宋_GB2312" w:cs="仿宋_GB2312" w:hint="eastAsia"/>
          <w:b/>
          <w:bCs/>
          <w:sz w:val="32"/>
          <w:szCs w:val="32"/>
        </w:rPr>
        <w:t>一</w:t>
      </w:r>
      <w:r>
        <w:rPr>
          <w:rFonts w:ascii="仿宋_GB2312" w:eastAsia="仿宋_GB2312" w:hAnsi="仿宋_GB2312" w:cs="仿宋_GB2312" w:hint="eastAsia"/>
          <w:b/>
          <w:bCs/>
          <w:sz w:val="32"/>
          <w:szCs w:val="32"/>
        </w:rPr>
        <w:t>条</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具备受电设施的船舶（液货船除外），在沿海港口具备岸电供应能力的泊</w:t>
      </w:r>
      <w:r>
        <w:rPr>
          <w:rFonts w:ascii="仿宋_GB2312" w:eastAsia="仿宋_GB2312" w:hAnsi="仿宋_GB2312" w:cs="仿宋_GB2312" w:hint="eastAsia"/>
          <w:sz w:val="32"/>
          <w:szCs w:val="32"/>
        </w:rPr>
        <w:t>位靠泊超过</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小时，在内河港口具备岸电供应能力的泊位靠泊超过</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小时，且未使用有效替代措施的，应当使用岸电；船舶、码头岸电设施临时发生故障，或者恶劣气候、意外事故等紧急情况下无法使用岸电的除外。</w:t>
      </w:r>
    </w:p>
    <w:p w:rsidR="00C63FF1" w:rsidRDefault="001E799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船舶靠泊不足前款规定时间的，鼓励使用岸电。</w:t>
      </w:r>
    </w:p>
    <w:p w:rsidR="00C63FF1" w:rsidRDefault="001E7994">
      <w:pPr>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w:t>
      </w:r>
      <w:r>
        <w:rPr>
          <w:rFonts w:ascii="仿宋_GB2312" w:eastAsia="仿宋_GB2312" w:hAnsi="仿宋_GB2312" w:cs="仿宋_GB2312" w:hint="eastAsia"/>
          <w:b/>
          <w:bCs/>
          <w:sz w:val="32"/>
          <w:szCs w:val="32"/>
        </w:rPr>
        <w:t>二</w:t>
      </w:r>
      <w:r>
        <w:rPr>
          <w:rFonts w:ascii="仿宋_GB2312" w:eastAsia="仿宋_GB2312" w:hAnsi="仿宋_GB2312" w:cs="仿宋_GB2312" w:hint="eastAsia"/>
          <w:b/>
          <w:bCs/>
          <w:sz w:val="32"/>
          <w:szCs w:val="32"/>
        </w:rPr>
        <w:t>条</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船舶靠港使用岸电的用电量不计入港口能耗统计范围。</w:t>
      </w:r>
    </w:p>
    <w:p w:rsidR="00C63FF1" w:rsidRDefault="001E7994">
      <w:pPr>
        <w:spacing w:line="360" w:lineRule="auto"/>
        <w:jc w:val="center"/>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第三章</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服务和安全</w:t>
      </w:r>
    </w:p>
    <w:p w:rsidR="00C63FF1" w:rsidRDefault="001E7994">
      <w:pPr>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w:t>
      </w:r>
      <w:r>
        <w:rPr>
          <w:rFonts w:ascii="仿宋_GB2312" w:eastAsia="仿宋_GB2312" w:hAnsi="仿宋_GB2312" w:cs="仿宋_GB2312" w:hint="eastAsia"/>
          <w:b/>
          <w:bCs/>
          <w:sz w:val="32"/>
          <w:szCs w:val="32"/>
        </w:rPr>
        <w:t>三</w:t>
      </w:r>
      <w:r>
        <w:rPr>
          <w:rFonts w:ascii="仿宋_GB2312" w:eastAsia="仿宋_GB2312" w:hAnsi="仿宋_GB2312" w:cs="仿宋_GB2312" w:hint="eastAsia"/>
          <w:sz w:val="32"/>
          <w:szCs w:val="32"/>
        </w:rPr>
        <w:t>条</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港口经营人、岸电供电企业应当将码头岸电设施主要技术参数等信息通过网站等渠道向社会公开</w:t>
      </w:r>
      <w:r>
        <w:rPr>
          <w:rFonts w:ascii="仿宋_GB2312" w:eastAsia="仿宋_GB2312" w:hAnsi="仿宋_GB2312" w:cs="仿宋_GB2312" w:hint="eastAsia"/>
          <w:sz w:val="32"/>
          <w:szCs w:val="32"/>
        </w:rPr>
        <w:t>，并报送所在地交通运输（港口）主管部门。</w:t>
      </w:r>
    </w:p>
    <w:p w:rsidR="00C63FF1" w:rsidRDefault="001E799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所在地交通运输（港口）主管部门应当汇总辖区全部码头岸电设施信息，通过网站等渠道向社会公开，并通报海事管理机构。</w:t>
      </w:r>
    </w:p>
    <w:p w:rsidR="00C63FF1" w:rsidRDefault="001E7994">
      <w:pPr>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w:t>
      </w:r>
      <w:r>
        <w:rPr>
          <w:rFonts w:ascii="仿宋_GB2312" w:eastAsia="仿宋_GB2312" w:hAnsi="仿宋_GB2312" w:cs="仿宋_GB2312" w:hint="eastAsia"/>
          <w:b/>
          <w:bCs/>
          <w:sz w:val="32"/>
          <w:szCs w:val="32"/>
        </w:rPr>
        <w:t>四</w:t>
      </w:r>
      <w:r>
        <w:rPr>
          <w:rFonts w:ascii="仿宋_GB2312" w:eastAsia="仿宋_GB2312" w:hAnsi="仿宋_GB2312" w:cs="仿宋_GB2312" w:hint="eastAsia"/>
          <w:b/>
          <w:bCs/>
          <w:sz w:val="32"/>
          <w:szCs w:val="32"/>
        </w:rPr>
        <w:t>条</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船舶应当在靠泊前，向港口经营人提供船舶受电设施的配备情况以及主要技术参数等信息。</w:t>
      </w:r>
    </w:p>
    <w:p w:rsidR="00C63FF1" w:rsidRDefault="001E7994">
      <w:pPr>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w:t>
      </w:r>
      <w:r>
        <w:rPr>
          <w:rFonts w:ascii="仿宋_GB2312" w:eastAsia="仿宋_GB2312" w:hAnsi="仿宋_GB2312" w:cs="仿宋_GB2312" w:hint="eastAsia"/>
          <w:b/>
          <w:bCs/>
          <w:sz w:val="32"/>
          <w:szCs w:val="32"/>
        </w:rPr>
        <w:t>五</w:t>
      </w:r>
      <w:r>
        <w:rPr>
          <w:rFonts w:ascii="仿宋_GB2312" w:eastAsia="仿宋_GB2312" w:hAnsi="仿宋_GB2312" w:cs="仿宋_GB2312" w:hint="eastAsia"/>
          <w:b/>
          <w:bCs/>
          <w:sz w:val="32"/>
          <w:szCs w:val="32"/>
        </w:rPr>
        <w:t>条</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按照第十一条规定应当使用岸电的，港口经营人应当将用电船舶安排在具备相应岸电供应能力的泊位靠泊，对其他具备受电设施的船舶，鼓励安排在具备岸电设施的泊位靠泊。</w:t>
      </w:r>
    </w:p>
    <w:p w:rsidR="00C63FF1" w:rsidRDefault="001E7994">
      <w:pPr>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lastRenderedPageBreak/>
        <w:t>第十</w:t>
      </w:r>
      <w:r>
        <w:rPr>
          <w:rFonts w:ascii="仿宋_GB2312" w:eastAsia="仿宋_GB2312" w:hAnsi="仿宋_GB2312" w:cs="仿宋_GB2312" w:hint="eastAsia"/>
          <w:b/>
          <w:bCs/>
          <w:sz w:val="32"/>
          <w:szCs w:val="32"/>
        </w:rPr>
        <w:t>六</w:t>
      </w:r>
      <w:r>
        <w:rPr>
          <w:rFonts w:ascii="仿宋_GB2312" w:eastAsia="仿宋_GB2312" w:hAnsi="仿宋_GB2312" w:cs="仿宋_GB2312" w:hint="eastAsia"/>
          <w:b/>
          <w:bCs/>
          <w:sz w:val="32"/>
          <w:szCs w:val="32"/>
        </w:rPr>
        <w:t>条</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鼓励有关单位对使用岸电的船舶实施优先靠泊、减免岸电服务费、优先过闸或者优先通行等措施。</w:t>
      </w:r>
    </w:p>
    <w:p w:rsidR="00C63FF1" w:rsidRDefault="001E7994">
      <w:pPr>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w:t>
      </w:r>
      <w:r>
        <w:rPr>
          <w:rFonts w:ascii="仿宋_GB2312" w:eastAsia="仿宋_GB2312" w:hAnsi="仿宋_GB2312" w:cs="仿宋_GB2312" w:hint="eastAsia"/>
          <w:b/>
          <w:bCs/>
          <w:sz w:val="32"/>
          <w:szCs w:val="32"/>
        </w:rPr>
        <w:t>七</w:t>
      </w:r>
      <w:r>
        <w:rPr>
          <w:rFonts w:ascii="仿宋_GB2312" w:eastAsia="仿宋_GB2312" w:hAnsi="仿宋_GB2312" w:cs="仿宋_GB2312" w:hint="eastAsia"/>
          <w:b/>
          <w:bCs/>
          <w:sz w:val="32"/>
          <w:szCs w:val="32"/>
        </w:rPr>
        <w:t>条</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岸电供电企业和水路运输经营者应当建立健全码头岸电设施、船舶受电设施的管理、使用、维护保养制度和操作规程等，发生故障应当及时修复。</w:t>
      </w:r>
    </w:p>
    <w:p w:rsidR="00C63FF1" w:rsidRDefault="001E7994">
      <w:pPr>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w:t>
      </w:r>
      <w:r>
        <w:rPr>
          <w:rFonts w:ascii="仿宋_GB2312" w:eastAsia="仿宋_GB2312" w:hAnsi="仿宋_GB2312" w:cs="仿宋_GB2312" w:hint="eastAsia"/>
          <w:b/>
          <w:bCs/>
          <w:sz w:val="32"/>
          <w:szCs w:val="32"/>
        </w:rPr>
        <w:t>八</w:t>
      </w:r>
      <w:r>
        <w:rPr>
          <w:rFonts w:ascii="仿宋_GB2312" w:eastAsia="仿宋_GB2312" w:hAnsi="仿宋_GB2312" w:cs="仿宋_GB2312" w:hint="eastAsia"/>
          <w:b/>
          <w:bCs/>
          <w:sz w:val="32"/>
          <w:szCs w:val="32"/>
        </w:rPr>
        <w:t>条</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岸电供电企业和船舶应当如实记录岸电设备设施使用情况，并至少保存</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年。记录内容主要包括泊位名称、船舶名称、靠离泊时间、岸电使用起止时间、用电量等。码头岸电设施、船舶受电设施发生故障的，还应当记录故障时间、故障情况及修复时间等。</w:t>
      </w:r>
    </w:p>
    <w:p w:rsidR="00C63FF1" w:rsidRDefault="001E799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岸电供电企业应当按照有关规定将岸电供应情况报送所在地交通运输（港口）主管部门。船舶应当按照船舶能耗数据收集管理的要求，向海事管理机构报告岸电使用</w:t>
      </w:r>
      <w:r>
        <w:rPr>
          <w:rFonts w:ascii="仿宋_GB2312" w:eastAsia="仿宋_GB2312" w:hAnsi="仿宋_GB2312" w:cs="仿宋_GB2312" w:hint="eastAsia"/>
          <w:sz w:val="32"/>
          <w:szCs w:val="32"/>
        </w:rPr>
        <w:t>情况，将岸电使用情况</w:t>
      </w:r>
      <w:proofErr w:type="gramStart"/>
      <w:r>
        <w:rPr>
          <w:rFonts w:ascii="仿宋_GB2312" w:eastAsia="仿宋_GB2312" w:hAnsi="仿宋_GB2312" w:cs="仿宋_GB2312" w:hint="eastAsia"/>
          <w:sz w:val="32"/>
          <w:szCs w:val="32"/>
        </w:rPr>
        <w:t>记录留船备查</w:t>
      </w:r>
      <w:proofErr w:type="gramEnd"/>
      <w:r>
        <w:rPr>
          <w:rFonts w:ascii="仿宋_GB2312" w:eastAsia="仿宋_GB2312" w:hAnsi="仿宋_GB2312" w:cs="仿宋_GB2312" w:hint="eastAsia"/>
          <w:sz w:val="32"/>
          <w:szCs w:val="32"/>
        </w:rPr>
        <w:t>。</w:t>
      </w:r>
    </w:p>
    <w:p w:rsidR="00C63FF1" w:rsidRDefault="001E7994">
      <w:pPr>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w:t>
      </w:r>
      <w:r>
        <w:rPr>
          <w:rFonts w:ascii="仿宋_GB2312" w:eastAsia="仿宋_GB2312" w:hAnsi="仿宋_GB2312" w:cs="仿宋_GB2312" w:hint="eastAsia"/>
          <w:b/>
          <w:bCs/>
          <w:sz w:val="32"/>
          <w:szCs w:val="32"/>
        </w:rPr>
        <w:t>十九</w:t>
      </w:r>
      <w:r>
        <w:rPr>
          <w:rFonts w:ascii="仿宋_GB2312" w:eastAsia="仿宋_GB2312" w:hAnsi="仿宋_GB2312" w:cs="仿宋_GB2312" w:hint="eastAsia"/>
          <w:b/>
          <w:bCs/>
          <w:sz w:val="32"/>
          <w:szCs w:val="32"/>
        </w:rPr>
        <w:t>条</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港口经营人、岸电供电企业和船舶应当制定事故应急预案，明确岸电使用过程中各类事故的应急处置流程，并定期进行演练，适时修订。</w:t>
      </w:r>
    </w:p>
    <w:p w:rsidR="00C63FF1" w:rsidRDefault="001E7994">
      <w:pPr>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第二十条</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岸电供电企业和水路运输经营者应当组织作业人员进行操作技能、设备使用、作业程序、安全防护和应急处置等培训。</w:t>
      </w:r>
    </w:p>
    <w:p w:rsidR="00C63FF1" w:rsidRDefault="001E7994">
      <w:pPr>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第二十</w:t>
      </w:r>
      <w:r>
        <w:rPr>
          <w:rFonts w:ascii="仿宋_GB2312" w:eastAsia="仿宋_GB2312" w:hAnsi="仿宋_GB2312" w:cs="仿宋_GB2312" w:hint="eastAsia"/>
          <w:b/>
          <w:bCs/>
          <w:sz w:val="32"/>
          <w:szCs w:val="32"/>
        </w:rPr>
        <w:t>一</w:t>
      </w:r>
      <w:r>
        <w:rPr>
          <w:rFonts w:ascii="仿宋_GB2312" w:eastAsia="仿宋_GB2312" w:hAnsi="仿宋_GB2312" w:cs="仿宋_GB2312" w:hint="eastAsia"/>
          <w:b/>
          <w:bCs/>
          <w:sz w:val="32"/>
          <w:szCs w:val="32"/>
        </w:rPr>
        <w:t>条</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港口经营人、岸电供电企业和水路运输经营者应明确划分岸电使用安全责任。鼓励港口经营人、岸电</w:t>
      </w:r>
      <w:r>
        <w:rPr>
          <w:rFonts w:ascii="仿宋_GB2312" w:eastAsia="仿宋_GB2312" w:hAnsi="仿宋_GB2312" w:cs="仿宋_GB2312" w:hint="eastAsia"/>
          <w:sz w:val="32"/>
          <w:szCs w:val="32"/>
        </w:rPr>
        <w:lastRenderedPageBreak/>
        <w:t>供电企业和水路运输经营者购买岸电安全责任相关保险。</w:t>
      </w:r>
    </w:p>
    <w:p w:rsidR="00C63FF1" w:rsidRDefault="001E7994">
      <w:pPr>
        <w:spacing w:line="360" w:lineRule="auto"/>
        <w:jc w:val="center"/>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第四章</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监督检查</w:t>
      </w:r>
    </w:p>
    <w:p w:rsidR="00C63FF1" w:rsidRDefault="001E7994">
      <w:pPr>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第二十</w:t>
      </w:r>
      <w:r>
        <w:rPr>
          <w:rFonts w:ascii="仿宋_GB2312" w:eastAsia="仿宋_GB2312" w:hAnsi="仿宋_GB2312" w:cs="仿宋_GB2312" w:hint="eastAsia"/>
          <w:b/>
          <w:bCs/>
          <w:sz w:val="32"/>
          <w:szCs w:val="32"/>
        </w:rPr>
        <w:t>二</w:t>
      </w:r>
      <w:r>
        <w:rPr>
          <w:rFonts w:ascii="仿宋_GB2312" w:eastAsia="仿宋_GB2312" w:hAnsi="仿宋_GB2312" w:cs="仿宋_GB2312" w:hint="eastAsia"/>
          <w:b/>
          <w:bCs/>
          <w:sz w:val="32"/>
          <w:szCs w:val="32"/>
        </w:rPr>
        <w:t>条</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码头岸电设施建设和检测，港口经营人、岸电供电企</w:t>
      </w:r>
      <w:r>
        <w:rPr>
          <w:rFonts w:ascii="仿宋_GB2312" w:eastAsia="仿宋_GB2312" w:hAnsi="仿宋_GB2312" w:cs="仿宋_GB2312" w:hint="eastAsia"/>
          <w:sz w:val="32"/>
          <w:szCs w:val="32"/>
        </w:rPr>
        <w:t>业向靠港船舶提供岸电服务以及水路运输经营者组织实施船舶受电设施安装等情况由市、县级交通运输（港口）主管部门监督检查。</w:t>
      </w:r>
    </w:p>
    <w:p w:rsidR="00C63FF1" w:rsidRDefault="001E799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海事管理机构可</w:t>
      </w:r>
      <w:r>
        <w:rPr>
          <w:rFonts w:ascii="仿宋_GB2312" w:eastAsia="仿宋_GB2312" w:hAnsi="仿宋_GB2312" w:cs="仿宋_GB2312" w:hint="eastAsia"/>
          <w:sz w:val="32"/>
          <w:szCs w:val="32"/>
        </w:rPr>
        <w:t>以</w:t>
      </w:r>
      <w:r>
        <w:rPr>
          <w:rFonts w:ascii="仿宋_GB2312" w:eastAsia="仿宋_GB2312" w:hAnsi="仿宋_GB2312" w:cs="仿宋_GB2312" w:hint="eastAsia"/>
          <w:sz w:val="32"/>
          <w:szCs w:val="32"/>
        </w:rPr>
        <w:t>通过</w:t>
      </w:r>
      <w:r>
        <w:rPr>
          <w:rFonts w:ascii="仿宋_GB2312" w:eastAsia="仿宋_GB2312" w:hAnsi="仿宋_GB2312" w:cs="仿宋_GB2312" w:hint="eastAsia"/>
          <w:sz w:val="32"/>
          <w:szCs w:val="32"/>
        </w:rPr>
        <w:t>文件</w:t>
      </w:r>
      <w:r>
        <w:rPr>
          <w:rFonts w:ascii="仿宋_GB2312" w:eastAsia="仿宋_GB2312" w:hAnsi="仿宋_GB2312" w:cs="仿宋_GB2312" w:hint="eastAsia"/>
          <w:sz w:val="32"/>
          <w:szCs w:val="32"/>
        </w:rPr>
        <w:t>查阅等方式，核查船舶受电设施满足本办法和船舶法定检验技术规则要求、船舶使用岸电等情况。</w:t>
      </w:r>
    </w:p>
    <w:p w:rsidR="00C63FF1" w:rsidRDefault="001E799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交通运输（港口）主管部门和海事管理机构应当制定相关监督检查制度，并定期相互通报有关信息。</w:t>
      </w:r>
    </w:p>
    <w:p w:rsidR="00C63FF1" w:rsidRDefault="001E7994">
      <w:pPr>
        <w:autoSpaceDE w:val="0"/>
        <w:autoSpaceDN w:val="0"/>
        <w:adjustRightInd w:val="0"/>
        <w:ind w:firstLineChars="200" w:firstLine="643"/>
        <w:rPr>
          <w:rFonts w:ascii="仿宋_GB2312" w:eastAsia="仿宋_GB2312" w:hAnsi="仿宋_GB2312" w:cs="仿宋_GB2312"/>
          <w:color w:val="000000"/>
          <w:kern w:val="0"/>
          <w:sz w:val="32"/>
          <w:szCs w:val="32"/>
        </w:rPr>
      </w:pPr>
      <w:r>
        <w:rPr>
          <w:rFonts w:ascii="仿宋_GB2312" w:eastAsia="仿宋_GB2312" w:hAnsi="仿宋_GB2312" w:cs="仿宋_GB2312" w:hint="eastAsia"/>
          <w:b/>
          <w:bCs/>
          <w:sz w:val="32"/>
          <w:szCs w:val="32"/>
        </w:rPr>
        <w:t>第二十</w:t>
      </w:r>
      <w:r>
        <w:rPr>
          <w:rFonts w:ascii="仿宋_GB2312" w:eastAsia="仿宋_GB2312" w:hAnsi="仿宋_GB2312" w:cs="仿宋_GB2312" w:hint="eastAsia"/>
          <w:b/>
          <w:bCs/>
          <w:sz w:val="32"/>
          <w:szCs w:val="32"/>
        </w:rPr>
        <w:t>三</w:t>
      </w:r>
      <w:r>
        <w:rPr>
          <w:rFonts w:ascii="仿宋_GB2312" w:eastAsia="仿宋_GB2312" w:hAnsi="仿宋_GB2312" w:cs="仿宋_GB2312" w:hint="eastAsia"/>
          <w:b/>
          <w:bCs/>
          <w:sz w:val="32"/>
          <w:szCs w:val="32"/>
        </w:rPr>
        <w:t>条</w:t>
      </w:r>
      <w:r>
        <w:rPr>
          <w:rFonts w:ascii="仿宋_GB2312" w:eastAsia="仿宋_GB2312" w:hAnsi="仿宋_GB2312" w:cs="仿宋_GB2312" w:hint="eastAsia"/>
          <w:color w:val="000000"/>
          <w:kern w:val="0"/>
          <w:sz w:val="32"/>
          <w:szCs w:val="32"/>
        </w:rPr>
        <w:t xml:space="preserve"> </w:t>
      </w:r>
      <w:r>
        <w:rPr>
          <w:rFonts w:ascii="仿宋_GB2312" w:eastAsia="仿宋_GB2312" w:hAnsi="仿宋_GB2312" w:cs="仿宋_GB2312" w:hint="eastAsia"/>
          <w:color w:val="000000"/>
          <w:kern w:val="0"/>
          <w:sz w:val="32"/>
          <w:szCs w:val="32"/>
        </w:rPr>
        <w:t>新建、改建、扩建港口工程的项目单位、已建码头的港口经营人违反第五条、第六条，港口经营人违反第十五条规定的，由所在地交通运输（港口）主管部门责令限期改正。</w:t>
      </w:r>
    </w:p>
    <w:p w:rsidR="00C63FF1" w:rsidRDefault="001E7994">
      <w:pPr>
        <w:autoSpaceDE w:val="0"/>
        <w:autoSpaceDN w:val="0"/>
        <w:adjustRightInd w:val="0"/>
        <w:ind w:firstLineChars="200" w:firstLine="643"/>
        <w:rPr>
          <w:rFonts w:ascii="仿宋_GB2312" w:eastAsia="仿宋_GB2312" w:hAnsi="仿宋_GB2312" w:cs="仿宋_GB2312"/>
          <w:color w:val="000000"/>
          <w:kern w:val="0"/>
          <w:sz w:val="32"/>
          <w:szCs w:val="32"/>
        </w:rPr>
      </w:pPr>
      <w:r>
        <w:rPr>
          <w:rFonts w:ascii="仿宋_GB2312" w:eastAsia="仿宋_GB2312" w:hAnsi="仿宋_GB2312" w:cs="仿宋_GB2312" w:hint="eastAsia"/>
          <w:b/>
          <w:bCs/>
          <w:sz w:val="32"/>
          <w:szCs w:val="32"/>
        </w:rPr>
        <w:t>第二十</w:t>
      </w:r>
      <w:r>
        <w:rPr>
          <w:rFonts w:ascii="仿宋_GB2312" w:eastAsia="仿宋_GB2312" w:hAnsi="仿宋_GB2312" w:cs="仿宋_GB2312" w:hint="eastAsia"/>
          <w:b/>
          <w:bCs/>
          <w:sz w:val="32"/>
          <w:szCs w:val="32"/>
        </w:rPr>
        <w:t>四</w:t>
      </w:r>
      <w:r>
        <w:rPr>
          <w:rFonts w:ascii="仿宋_GB2312" w:eastAsia="仿宋_GB2312" w:hAnsi="仿宋_GB2312" w:cs="仿宋_GB2312" w:hint="eastAsia"/>
          <w:b/>
          <w:bCs/>
          <w:sz w:val="32"/>
          <w:szCs w:val="32"/>
        </w:rPr>
        <w:t>条</w:t>
      </w:r>
      <w:r>
        <w:rPr>
          <w:rFonts w:ascii="仿宋_GB2312" w:eastAsia="仿宋_GB2312" w:hAnsi="仿宋_GB2312" w:cs="仿宋_GB2312" w:hint="eastAsia"/>
          <w:color w:val="000000"/>
          <w:kern w:val="0"/>
          <w:sz w:val="32"/>
          <w:szCs w:val="32"/>
        </w:rPr>
        <w:t xml:space="preserve"> </w:t>
      </w:r>
      <w:r>
        <w:rPr>
          <w:rFonts w:ascii="仿宋_GB2312" w:eastAsia="仿宋_GB2312" w:hAnsi="仿宋_GB2312" w:cs="仿宋_GB2312" w:hint="eastAsia"/>
          <w:color w:val="000000"/>
          <w:kern w:val="0"/>
          <w:sz w:val="32"/>
          <w:szCs w:val="32"/>
        </w:rPr>
        <w:t>国内航行船舶未按照第十条规定</w:t>
      </w:r>
      <w:proofErr w:type="gramStart"/>
      <w:r>
        <w:rPr>
          <w:rFonts w:ascii="仿宋_GB2312" w:eastAsia="仿宋_GB2312" w:hAnsi="仿宋_GB2312" w:cs="仿宋_GB2312" w:hint="eastAsia"/>
          <w:color w:val="000000"/>
          <w:kern w:val="0"/>
          <w:sz w:val="32"/>
          <w:szCs w:val="32"/>
        </w:rPr>
        <w:t>安装受</w:t>
      </w:r>
      <w:proofErr w:type="gramEnd"/>
      <w:r>
        <w:rPr>
          <w:rFonts w:ascii="仿宋_GB2312" w:eastAsia="仿宋_GB2312" w:hAnsi="仿宋_GB2312" w:cs="仿宋_GB2312" w:hint="eastAsia"/>
          <w:color w:val="000000"/>
          <w:kern w:val="0"/>
          <w:sz w:val="32"/>
          <w:szCs w:val="32"/>
        </w:rPr>
        <w:t>电设施的，由海事管理机构通报水路运输经营者注册地交通运输主管部门；国际航行船舶未按照第十条规定</w:t>
      </w:r>
      <w:proofErr w:type="gramStart"/>
      <w:r>
        <w:rPr>
          <w:rFonts w:ascii="仿宋_GB2312" w:eastAsia="仿宋_GB2312" w:hAnsi="仿宋_GB2312" w:cs="仿宋_GB2312" w:hint="eastAsia"/>
          <w:color w:val="000000"/>
          <w:kern w:val="0"/>
          <w:sz w:val="32"/>
          <w:szCs w:val="32"/>
        </w:rPr>
        <w:t>安装受</w:t>
      </w:r>
      <w:proofErr w:type="gramEnd"/>
      <w:r>
        <w:rPr>
          <w:rFonts w:ascii="仿宋_GB2312" w:eastAsia="仿宋_GB2312" w:hAnsi="仿宋_GB2312" w:cs="仿宋_GB2312" w:hint="eastAsia"/>
          <w:color w:val="000000"/>
          <w:kern w:val="0"/>
          <w:sz w:val="32"/>
          <w:szCs w:val="32"/>
        </w:rPr>
        <w:t>电设施的，由直属海事机构汇总后定期报告交通运输部。</w:t>
      </w:r>
    </w:p>
    <w:p w:rsidR="00C63FF1" w:rsidRDefault="001E7994">
      <w:pPr>
        <w:autoSpaceDE w:val="0"/>
        <w:autoSpaceDN w:val="0"/>
        <w:adjustRightInd w:val="0"/>
        <w:ind w:firstLineChars="200" w:firstLine="643"/>
        <w:rPr>
          <w:rFonts w:ascii="仿宋_GB2312" w:eastAsia="仿宋_GB2312" w:hAnsi="仿宋_GB2312" w:cs="仿宋_GB2312"/>
          <w:color w:val="000000"/>
          <w:kern w:val="0"/>
          <w:sz w:val="32"/>
          <w:szCs w:val="32"/>
        </w:rPr>
      </w:pPr>
      <w:r>
        <w:rPr>
          <w:rFonts w:ascii="仿宋_GB2312" w:eastAsia="仿宋_GB2312" w:hAnsi="仿宋_GB2312" w:cs="仿宋_GB2312" w:hint="eastAsia"/>
          <w:b/>
          <w:bCs/>
          <w:sz w:val="32"/>
          <w:szCs w:val="32"/>
        </w:rPr>
        <w:t>第二十</w:t>
      </w:r>
      <w:r>
        <w:rPr>
          <w:rFonts w:ascii="仿宋_GB2312" w:eastAsia="仿宋_GB2312" w:hAnsi="仿宋_GB2312" w:cs="仿宋_GB2312" w:hint="eastAsia"/>
          <w:b/>
          <w:bCs/>
          <w:sz w:val="32"/>
          <w:szCs w:val="32"/>
        </w:rPr>
        <w:t>五</w:t>
      </w:r>
      <w:r>
        <w:rPr>
          <w:rFonts w:ascii="仿宋_GB2312" w:eastAsia="仿宋_GB2312" w:hAnsi="仿宋_GB2312" w:cs="仿宋_GB2312" w:hint="eastAsia"/>
          <w:b/>
          <w:bCs/>
          <w:sz w:val="32"/>
          <w:szCs w:val="32"/>
        </w:rPr>
        <w:t>条</w:t>
      </w:r>
      <w:r>
        <w:rPr>
          <w:rFonts w:ascii="仿宋_GB2312" w:eastAsia="仿宋_GB2312" w:hAnsi="仿宋_GB2312" w:cs="仿宋_GB2312" w:hint="eastAsia"/>
          <w:color w:val="000000"/>
          <w:kern w:val="0"/>
          <w:sz w:val="32"/>
          <w:szCs w:val="32"/>
        </w:rPr>
        <w:t xml:space="preserve"> </w:t>
      </w:r>
      <w:r>
        <w:rPr>
          <w:rFonts w:ascii="仿宋_GB2312" w:eastAsia="仿宋_GB2312" w:hAnsi="仿宋_GB2312" w:cs="仿宋_GB2312" w:hint="eastAsia"/>
          <w:color w:val="000000"/>
          <w:kern w:val="0"/>
          <w:sz w:val="32"/>
          <w:szCs w:val="32"/>
        </w:rPr>
        <w:t>船舶违反本办法第十一条第一款规定的，由海事管理机构责令限期改正。</w:t>
      </w:r>
    </w:p>
    <w:p w:rsidR="00C63FF1" w:rsidRDefault="001E799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在长江流域靠泊的船舶违反本办法第十</w:t>
      </w:r>
      <w:r>
        <w:rPr>
          <w:rFonts w:ascii="仿宋_GB2312" w:eastAsia="仿宋_GB2312" w:hAnsi="仿宋_GB2312" w:cs="仿宋_GB2312" w:hint="eastAsia"/>
          <w:sz w:val="32"/>
          <w:szCs w:val="32"/>
        </w:rPr>
        <w:t>一</w:t>
      </w:r>
      <w:r>
        <w:rPr>
          <w:rFonts w:ascii="仿宋_GB2312" w:eastAsia="仿宋_GB2312" w:hAnsi="仿宋_GB2312" w:cs="仿宋_GB2312" w:hint="eastAsia"/>
          <w:sz w:val="32"/>
          <w:szCs w:val="32"/>
        </w:rPr>
        <w:t>条第一款</w:t>
      </w:r>
      <w:r>
        <w:rPr>
          <w:rFonts w:ascii="仿宋_GB2312" w:eastAsia="仿宋_GB2312" w:hAnsi="仿宋_GB2312" w:cs="仿宋_GB2312" w:hint="eastAsia"/>
          <w:sz w:val="32"/>
          <w:szCs w:val="32"/>
        </w:rPr>
        <w:t>规</w:t>
      </w:r>
      <w:r>
        <w:rPr>
          <w:rFonts w:ascii="仿宋_GB2312" w:eastAsia="仿宋_GB2312" w:hAnsi="仿宋_GB2312" w:cs="仿宋_GB2312" w:hint="eastAsia"/>
          <w:sz w:val="32"/>
          <w:szCs w:val="32"/>
        </w:rPr>
        <w:lastRenderedPageBreak/>
        <w:t>定</w:t>
      </w:r>
      <w:r>
        <w:rPr>
          <w:rFonts w:ascii="仿宋_GB2312" w:eastAsia="仿宋_GB2312" w:hAnsi="仿宋_GB2312" w:cs="仿宋_GB2312" w:hint="eastAsia"/>
          <w:sz w:val="32"/>
          <w:szCs w:val="32"/>
        </w:rPr>
        <w:t>的，由海事管理机构责令停止违法行为，给予警告，</w:t>
      </w:r>
      <w:r>
        <w:rPr>
          <w:rFonts w:ascii="仿宋_GB2312" w:eastAsia="仿宋_GB2312" w:hAnsi="仿宋_GB2312" w:cs="仿宋_GB2312" w:hint="eastAsia"/>
          <w:sz w:val="32"/>
          <w:szCs w:val="32"/>
        </w:rPr>
        <w:t>并</w:t>
      </w:r>
      <w:r>
        <w:rPr>
          <w:rFonts w:ascii="仿宋_GB2312" w:eastAsia="仿宋_GB2312" w:hAnsi="仿宋_GB2312" w:cs="仿宋_GB2312" w:hint="eastAsia"/>
          <w:sz w:val="32"/>
          <w:szCs w:val="32"/>
        </w:rPr>
        <w:t>视情节轻重处以罚款：</w:t>
      </w:r>
    </w:p>
    <w:p w:rsidR="00C63FF1" w:rsidRDefault="001E799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（一）船舶发电机组总额定功率</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000</w:t>
      </w:r>
      <w:r>
        <w:rPr>
          <w:rFonts w:ascii="仿宋_GB2312" w:eastAsia="仿宋_GB2312" w:hAnsi="仿宋_GB2312" w:cs="仿宋_GB2312" w:hint="eastAsia"/>
          <w:sz w:val="32"/>
          <w:szCs w:val="32"/>
        </w:rPr>
        <w:t>千瓦</w:t>
      </w:r>
      <w:r>
        <w:rPr>
          <w:rFonts w:ascii="仿宋_GB2312" w:eastAsia="仿宋_GB2312" w:hAnsi="仿宋_GB2312" w:cs="仿宋_GB2312" w:hint="eastAsia"/>
          <w:sz w:val="32"/>
          <w:szCs w:val="32"/>
        </w:rPr>
        <w:t>（含）</w:t>
      </w:r>
      <w:r>
        <w:rPr>
          <w:rFonts w:ascii="仿宋_GB2312" w:eastAsia="仿宋_GB2312" w:hAnsi="仿宋_GB2312" w:cs="仿宋_GB2312" w:hint="eastAsia"/>
          <w:sz w:val="32"/>
          <w:szCs w:val="32"/>
        </w:rPr>
        <w:t>以下的，处一万元以上二万元以下罚款；情节严重的，处十万元以上二十万元以下罚款；</w:t>
      </w:r>
    </w:p>
    <w:p w:rsidR="00C63FF1" w:rsidRDefault="001E799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二）船舶发电机组总额定功率</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000</w:t>
      </w:r>
      <w:r>
        <w:rPr>
          <w:rFonts w:ascii="仿宋_GB2312" w:eastAsia="仿宋_GB2312" w:hAnsi="仿宋_GB2312" w:cs="仿宋_GB2312" w:hint="eastAsia"/>
          <w:sz w:val="32"/>
          <w:szCs w:val="32"/>
        </w:rPr>
        <w:t>千瓦以上</w:t>
      </w:r>
      <w:r>
        <w:rPr>
          <w:rFonts w:ascii="仿宋_GB2312" w:eastAsia="仿宋_GB2312" w:hAnsi="仿宋_GB2312" w:cs="仿宋_GB2312" w:hint="eastAsia"/>
          <w:sz w:val="32"/>
          <w:szCs w:val="32"/>
        </w:rPr>
        <w:t>8000</w:t>
      </w:r>
      <w:r>
        <w:rPr>
          <w:rFonts w:ascii="仿宋_GB2312" w:eastAsia="仿宋_GB2312" w:hAnsi="仿宋_GB2312" w:cs="仿宋_GB2312" w:hint="eastAsia"/>
          <w:sz w:val="32"/>
          <w:szCs w:val="32"/>
        </w:rPr>
        <w:t>千瓦（含）以下的，处二万以上五万元以下罚款；情节严重的，处二十万元以上三十万元以下罚款；</w:t>
      </w:r>
    </w:p>
    <w:p w:rsidR="00C63FF1" w:rsidRDefault="001E799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（三）船舶发电机组总额定功率</w:t>
      </w:r>
      <w:r>
        <w:rPr>
          <w:rFonts w:ascii="仿宋_GB2312" w:eastAsia="仿宋_GB2312" w:hAnsi="仿宋_GB2312" w:cs="仿宋_GB2312" w:hint="eastAsia"/>
          <w:sz w:val="32"/>
          <w:szCs w:val="32"/>
        </w:rPr>
        <w:t>8000</w:t>
      </w:r>
      <w:r>
        <w:rPr>
          <w:rFonts w:ascii="仿宋_GB2312" w:eastAsia="仿宋_GB2312" w:hAnsi="仿宋_GB2312" w:cs="仿宋_GB2312" w:hint="eastAsia"/>
          <w:sz w:val="32"/>
          <w:szCs w:val="32"/>
        </w:rPr>
        <w:t>千瓦以上</w:t>
      </w:r>
      <w:r>
        <w:rPr>
          <w:rFonts w:ascii="仿宋_GB2312" w:eastAsia="仿宋_GB2312" w:hAnsi="仿宋_GB2312" w:cs="仿宋_GB2312" w:hint="eastAsia"/>
          <w:sz w:val="32"/>
          <w:szCs w:val="32"/>
        </w:rPr>
        <w:t>的</w:t>
      </w:r>
      <w:r>
        <w:rPr>
          <w:rFonts w:ascii="仿宋_GB2312" w:eastAsia="仿宋_GB2312" w:hAnsi="仿宋_GB2312" w:cs="仿宋_GB2312" w:hint="eastAsia"/>
          <w:sz w:val="32"/>
          <w:szCs w:val="32"/>
        </w:rPr>
        <w:t>，处五万元以上十万元以下罚款；情节严重的，处三十万元以上五十万元以下罚款。</w:t>
      </w:r>
    </w:p>
    <w:p w:rsidR="00C63FF1" w:rsidRDefault="001E799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前款所称情节严重</w:t>
      </w:r>
      <w:r>
        <w:rPr>
          <w:rFonts w:ascii="仿宋_GB2312" w:eastAsia="仿宋_GB2312" w:hAnsi="仿宋_GB2312" w:cs="仿宋_GB2312" w:hint="eastAsia"/>
          <w:sz w:val="32"/>
          <w:szCs w:val="32"/>
        </w:rPr>
        <w:t>情形，</w:t>
      </w:r>
      <w:r>
        <w:rPr>
          <w:rFonts w:ascii="仿宋_GB2312" w:eastAsia="仿宋_GB2312" w:hAnsi="仿宋_GB2312" w:cs="仿宋_GB2312" w:hint="eastAsia"/>
          <w:sz w:val="32"/>
          <w:szCs w:val="32"/>
        </w:rPr>
        <w:t>是指船舶靠泊同一</w:t>
      </w:r>
      <w:r>
        <w:rPr>
          <w:rFonts w:ascii="仿宋_GB2312" w:eastAsia="仿宋_GB2312" w:hAnsi="仿宋_GB2312" w:cs="仿宋_GB2312" w:hint="eastAsia"/>
          <w:sz w:val="32"/>
          <w:szCs w:val="32"/>
        </w:rPr>
        <w:t>港口</w:t>
      </w:r>
      <w:r>
        <w:rPr>
          <w:rFonts w:ascii="仿宋_GB2312" w:eastAsia="仿宋_GB2312" w:hAnsi="仿宋_GB2312" w:cs="仿宋_GB2312" w:hint="eastAsia"/>
          <w:sz w:val="32"/>
          <w:szCs w:val="32"/>
        </w:rPr>
        <w:t>连续</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次及以上或连续</w:t>
      </w:r>
      <w:r>
        <w:rPr>
          <w:rFonts w:ascii="仿宋_GB2312" w:eastAsia="仿宋_GB2312" w:hAnsi="仿宋_GB2312" w:cs="仿宋_GB2312" w:hint="eastAsia"/>
          <w:sz w:val="32"/>
          <w:szCs w:val="32"/>
        </w:rPr>
        <w:t>12</w:t>
      </w:r>
      <w:r>
        <w:rPr>
          <w:rFonts w:ascii="仿宋_GB2312" w:eastAsia="仿宋_GB2312" w:hAnsi="仿宋_GB2312" w:cs="仿宋_GB2312" w:hint="eastAsia"/>
          <w:sz w:val="32"/>
          <w:szCs w:val="32"/>
        </w:rPr>
        <w:t>个月内累积</w:t>
      </w: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次及以上未按规定使用岸电，或受电设施出现故障</w:t>
      </w: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个月以上不及时维修无法正常使用。</w:t>
      </w:r>
    </w:p>
    <w:p w:rsidR="00C63FF1" w:rsidRDefault="001E799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初次违法且</w:t>
      </w:r>
      <w:r>
        <w:rPr>
          <w:rFonts w:ascii="仿宋_GB2312" w:eastAsia="仿宋_GB2312" w:hAnsi="仿宋_GB2312" w:cs="仿宋_GB2312" w:hint="eastAsia"/>
          <w:sz w:val="32"/>
          <w:szCs w:val="32"/>
        </w:rPr>
        <w:t>情节轻微</w:t>
      </w:r>
      <w:r>
        <w:rPr>
          <w:rFonts w:ascii="仿宋_GB2312" w:eastAsia="仿宋_GB2312" w:hAnsi="仿宋_GB2312" w:cs="仿宋_GB2312" w:hint="eastAsia"/>
          <w:sz w:val="32"/>
          <w:szCs w:val="32"/>
        </w:rPr>
        <w:t>并及时改正的，可以不予行政处罚，由海事管理机构进行教育。</w:t>
      </w:r>
    </w:p>
    <w:p w:rsidR="00C63FF1" w:rsidRDefault="001E7994">
      <w:pPr>
        <w:autoSpaceDE w:val="0"/>
        <w:autoSpaceDN w:val="0"/>
        <w:adjustRightInd w:val="0"/>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第二十</w:t>
      </w:r>
      <w:r>
        <w:rPr>
          <w:rFonts w:ascii="仿宋_GB2312" w:eastAsia="仿宋_GB2312" w:hAnsi="仿宋_GB2312" w:cs="仿宋_GB2312" w:hint="eastAsia"/>
          <w:b/>
          <w:bCs/>
          <w:sz w:val="32"/>
          <w:szCs w:val="32"/>
        </w:rPr>
        <w:t>六</w:t>
      </w:r>
      <w:r>
        <w:rPr>
          <w:rFonts w:ascii="仿宋_GB2312" w:eastAsia="仿宋_GB2312" w:hAnsi="仿宋_GB2312" w:cs="仿宋_GB2312" w:hint="eastAsia"/>
          <w:b/>
          <w:bCs/>
          <w:sz w:val="32"/>
          <w:szCs w:val="32"/>
        </w:rPr>
        <w:t>条</w:t>
      </w:r>
      <w:r>
        <w:rPr>
          <w:rFonts w:ascii="仿宋_GB2312" w:eastAsia="仿宋_GB2312" w:hAnsi="仿宋_GB2312" w:cs="仿宋_GB2312" w:hint="eastAsia"/>
          <w:color w:val="000000"/>
          <w:kern w:val="0"/>
          <w:sz w:val="32"/>
          <w:szCs w:val="32"/>
        </w:rPr>
        <w:t xml:space="preserve"> </w:t>
      </w:r>
      <w:r>
        <w:rPr>
          <w:rFonts w:ascii="仿宋_GB2312" w:eastAsia="仿宋_GB2312" w:hAnsi="仿宋_GB2312" w:cs="仿宋_GB2312" w:hint="eastAsia"/>
          <w:sz w:val="32"/>
          <w:szCs w:val="32"/>
        </w:rPr>
        <w:t>水路运输经营者未按照第十七条、第十九条规定制定相关制度、应急预案，由注册地交通运输主管部门责令限期改正。</w:t>
      </w:r>
    </w:p>
    <w:p w:rsidR="00C63FF1" w:rsidRDefault="001E7994">
      <w:pPr>
        <w:autoSpaceDE w:val="0"/>
        <w:autoSpaceDN w:val="0"/>
        <w:adjustRightInd w:val="0"/>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第二十</w:t>
      </w:r>
      <w:r>
        <w:rPr>
          <w:rFonts w:ascii="仿宋_GB2312" w:eastAsia="仿宋_GB2312" w:hAnsi="仿宋_GB2312" w:cs="仿宋_GB2312" w:hint="eastAsia"/>
          <w:b/>
          <w:bCs/>
          <w:sz w:val="32"/>
          <w:szCs w:val="32"/>
        </w:rPr>
        <w:t>七</w:t>
      </w:r>
      <w:r>
        <w:rPr>
          <w:rFonts w:ascii="仿宋_GB2312" w:eastAsia="仿宋_GB2312" w:hAnsi="仿宋_GB2312" w:cs="仿宋_GB2312" w:hint="eastAsia"/>
          <w:b/>
          <w:bCs/>
          <w:sz w:val="32"/>
          <w:szCs w:val="32"/>
        </w:rPr>
        <w:t>条</w:t>
      </w:r>
      <w:r>
        <w:rPr>
          <w:rFonts w:ascii="仿宋_GB2312" w:eastAsia="仿宋_GB2312" w:hAnsi="仿宋_GB2312" w:cs="仿宋_GB2312" w:hint="eastAsia"/>
          <w:color w:val="000000"/>
          <w:kern w:val="0"/>
          <w:sz w:val="32"/>
          <w:szCs w:val="32"/>
        </w:rPr>
        <w:t xml:space="preserve"> </w:t>
      </w:r>
      <w:r>
        <w:rPr>
          <w:rFonts w:ascii="仿宋_GB2312" w:eastAsia="仿宋_GB2312" w:hAnsi="仿宋_GB2312" w:cs="仿宋_GB2312" w:hint="eastAsia"/>
          <w:sz w:val="32"/>
          <w:szCs w:val="32"/>
        </w:rPr>
        <w:t>岸电供电企业和船舶未按照第十七条、第十八条、第十九条、第二十条规定建立相关制度或者应急预</w:t>
      </w:r>
      <w:r>
        <w:rPr>
          <w:rFonts w:ascii="仿宋_GB2312" w:eastAsia="仿宋_GB2312" w:hAnsi="仿宋_GB2312" w:cs="仿宋_GB2312" w:hint="eastAsia"/>
          <w:sz w:val="32"/>
          <w:szCs w:val="32"/>
        </w:rPr>
        <w:lastRenderedPageBreak/>
        <w:t>案、记录或者报送岸电供电信息、提供岸电服务，或者岸电设施出现故障不及时维修导致</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个月以上无法正常使用，由所在地交通运输（港口）主管部门和海事管理机构责令限期改正。</w:t>
      </w:r>
    </w:p>
    <w:p w:rsidR="00C63FF1" w:rsidRDefault="001E7994">
      <w:pPr>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第二十</w:t>
      </w:r>
      <w:r>
        <w:rPr>
          <w:rFonts w:ascii="仿宋_GB2312" w:eastAsia="仿宋_GB2312" w:hAnsi="仿宋_GB2312" w:cs="仿宋_GB2312" w:hint="eastAsia"/>
          <w:b/>
          <w:bCs/>
          <w:sz w:val="32"/>
          <w:szCs w:val="32"/>
        </w:rPr>
        <w:t>八</w:t>
      </w:r>
      <w:r>
        <w:rPr>
          <w:rFonts w:ascii="仿宋_GB2312" w:eastAsia="仿宋_GB2312" w:hAnsi="仿宋_GB2312" w:cs="仿宋_GB2312" w:hint="eastAsia"/>
          <w:b/>
          <w:bCs/>
          <w:sz w:val="32"/>
          <w:szCs w:val="32"/>
        </w:rPr>
        <w:t>条</w:t>
      </w:r>
      <w:r>
        <w:rPr>
          <w:rFonts w:ascii="仿宋_GB2312" w:eastAsia="仿宋_GB2312" w:hAnsi="仿宋_GB2312" w:cs="仿宋_GB2312" w:hint="eastAsia"/>
          <w:color w:val="000000"/>
          <w:kern w:val="0"/>
          <w:sz w:val="32"/>
          <w:szCs w:val="32"/>
        </w:rPr>
        <w:t xml:space="preserve"> </w:t>
      </w:r>
      <w:r>
        <w:rPr>
          <w:rFonts w:ascii="仿宋_GB2312" w:eastAsia="仿宋_GB2312" w:hAnsi="仿宋_GB2312" w:cs="仿宋_GB2312" w:hint="eastAsia"/>
          <w:sz w:val="32"/>
          <w:szCs w:val="32"/>
        </w:rPr>
        <w:t>船舶未按照第十八条第二款规定报告岸电使用情况，由海事管理机构责令限期改正。</w:t>
      </w:r>
    </w:p>
    <w:p w:rsidR="00C63FF1" w:rsidRDefault="001E7994">
      <w:pPr>
        <w:spacing w:line="360" w:lineRule="auto"/>
        <w:jc w:val="center"/>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第五章</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附则</w:t>
      </w:r>
    </w:p>
    <w:p w:rsidR="00C63FF1" w:rsidRDefault="001E7994">
      <w:pPr>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w:t>
      </w:r>
      <w:r>
        <w:rPr>
          <w:rFonts w:ascii="仿宋_GB2312" w:eastAsia="仿宋_GB2312" w:hAnsi="仿宋_GB2312" w:cs="仿宋_GB2312" w:hint="eastAsia"/>
          <w:b/>
          <w:bCs/>
          <w:sz w:val="32"/>
          <w:szCs w:val="32"/>
        </w:rPr>
        <w:t>二十九</w:t>
      </w:r>
      <w:r>
        <w:rPr>
          <w:rFonts w:ascii="仿宋_GB2312" w:eastAsia="仿宋_GB2312" w:hAnsi="仿宋_GB2312" w:cs="仿宋_GB2312" w:hint="eastAsia"/>
          <w:b/>
          <w:bCs/>
          <w:sz w:val="32"/>
          <w:szCs w:val="32"/>
        </w:rPr>
        <w:t>条</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岸电供电质量、供电安全、电力</w:t>
      </w:r>
      <w:r>
        <w:rPr>
          <w:rFonts w:ascii="仿宋_GB2312" w:eastAsia="仿宋_GB2312" w:hAnsi="仿宋_GB2312" w:cs="仿宋_GB2312" w:hint="eastAsia"/>
          <w:sz w:val="32"/>
          <w:szCs w:val="32"/>
        </w:rPr>
        <w:t>供应与使用、供电价格等应当符合电力、价格等法规，以及电力领域的强制性标准和技术规范。</w:t>
      </w:r>
    </w:p>
    <w:p w:rsidR="00C63FF1" w:rsidRDefault="001E7994">
      <w:pPr>
        <w:autoSpaceDE w:val="0"/>
        <w:autoSpaceDN w:val="0"/>
        <w:adjustRightInd w:val="0"/>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第三十条</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本办法所称船舶受电设施是指船舶岸电系统船载装置。</w:t>
      </w:r>
    </w:p>
    <w:p w:rsidR="00C63FF1" w:rsidRDefault="001E7994">
      <w:pPr>
        <w:autoSpaceDE w:val="0"/>
        <w:autoSpaceDN w:val="0"/>
        <w:adjustRightInd w:val="0"/>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岸电供电企业是指为靠港船舶提供岸电服务的组织或单位，可为港口经营人或者受港口经营人委托的第三方。</w:t>
      </w:r>
    </w:p>
    <w:p w:rsidR="00C63FF1" w:rsidRDefault="001E7994">
      <w:pPr>
        <w:autoSpaceDE w:val="0"/>
        <w:autoSpaceDN w:val="0"/>
        <w:adjustRightInd w:val="0"/>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有效替代措施是指船舶靠港期间使用电能、</w:t>
      </w:r>
      <w:r>
        <w:rPr>
          <w:rFonts w:ascii="仿宋_GB2312" w:eastAsia="仿宋_GB2312" w:hAnsi="仿宋_GB2312" w:cs="仿宋_GB2312" w:hint="eastAsia"/>
          <w:sz w:val="32"/>
          <w:szCs w:val="32"/>
        </w:rPr>
        <w:t>LNG</w:t>
      </w:r>
      <w:r>
        <w:rPr>
          <w:rFonts w:ascii="仿宋_GB2312" w:eastAsia="仿宋_GB2312" w:hAnsi="仿宋_GB2312" w:cs="仿宋_GB2312" w:hint="eastAsia"/>
          <w:sz w:val="32"/>
          <w:szCs w:val="32"/>
        </w:rPr>
        <w:t>等新能源、清洁能源作为动力，或者关闭辅机等其他等效措施。</w:t>
      </w:r>
    </w:p>
    <w:p w:rsidR="00C63FF1" w:rsidRDefault="001E7994">
      <w:pPr>
        <w:autoSpaceDE w:val="0"/>
        <w:autoSpaceDN w:val="0"/>
        <w:adjustRightInd w:val="0"/>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岸电设施是指</w:t>
      </w:r>
      <w:proofErr w:type="gramStart"/>
      <w:r>
        <w:rPr>
          <w:rFonts w:ascii="仿宋_GB2312" w:eastAsia="仿宋_GB2312" w:hAnsi="仿宋_GB2312" w:cs="仿宋_GB2312" w:hint="eastAsia"/>
          <w:sz w:val="32"/>
          <w:szCs w:val="32"/>
        </w:rPr>
        <w:t>由岸侧</w:t>
      </w:r>
      <w:proofErr w:type="gramEnd"/>
      <w:r>
        <w:rPr>
          <w:rFonts w:ascii="仿宋_GB2312" w:eastAsia="仿宋_GB2312" w:hAnsi="仿宋_GB2312" w:cs="仿宋_GB2312" w:hint="eastAsia"/>
          <w:sz w:val="32"/>
          <w:szCs w:val="32"/>
        </w:rPr>
        <w:t>电力系统向停靠码头的船舶提供电能的设备及装置的整体，主要包括开关柜、岸电电源、接电装置、电缆管理装置等。</w:t>
      </w:r>
    </w:p>
    <w:p w:rsidR="00C63FF1" w:rsidRDefault="001E7994">
      <w:pPr>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第三十</w:t>
      </w:r>
      <w:r>
        <w:rPr>
          <w:rFonts w:ascii="仿宋_GB2312" w:eastAsia="仿宋_GB2312" w:hAnsi="仿宋_GB2312" w:cs="仿宋_GB2312" w:hint="eastAsia"/>
          <w:b/>
          <w:bCs/>
          <w:sz w:val="32"/>
          <w:szCs w:val="32"/>
        </w:rPr>
        <w:t>一</w:t>
      </w:r>
      <w:r>
        <w:rPr>
          <w:rFonts w:ascii="仿宋_GB2312" w:eastAsia="仿宋_GB2312" w:hAnsi="仿宋_GB2312" w:cs="仿宋_GB2312" w:hint="eastAsia"/>
          <w:b/>
          <w:bCs/>
          <w:sz w:val="32"/>
          <w:szCs w:val="32"/>
        </w:rPr>
        <w:t>条</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公务船舶和工程船舶使用岸电参照</w:t>
      </w:r>
      <w:r>
        <w:rPr>
          <w:rFonts w:ascii="仿宋_GB2312" w:eastAsia="仿宋_GB2312" w:hAnsi="仿宋_GB2312" w:cs="仿宋_GB2312" w:hint="eastAsia"/>
          <w:sz w:val="32"/>
          <w:szCs w:val="32"/>
        </w:rPr>
        <w:t>本办法执行。</w:t>
      </w:r>
    </w:p>
    <w:p w:rsidR="00C63FF1" w:rsidRDefault="001E7994">
      <w:pPr>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第三十</w:t>
      </w:r>
      <w:r>
        <w:rPr>
          <w:rFonts w:ascii="仿宋_GB2312" w:eastAsia="仿宋_GB2312" w:hAnsi="仿宋_GB2312" w:cs="仿宋_GB2312" w:hint="eastAsia"/>
          <w:b/>
          <w:bCs/>
          <w:sz w:val="32"/>
          <w:szCs w:val="32"/>
        </w:rPr>
        <w:t>二</w:t>
      </w:r>
      <w:r>
        <w:rPr>
          <w:rFonts w:ascii="仿宋_GB2312" w:eastAsia="仿宋_GB2312" w:hAnsi="仿宋_GB2312" w:cs="仿宋_GB2312" w:hint="eastAsia"/>
          <w:b/>
          <w:bCs/>
          <w:sz w:val="32"/>
          <w:szCs w:val="32"/>
        </w:rPr>
        <w:t>条</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军事船舶、渔船和体育船舶不适用本办法。</w:t>
      </w:r>
    </w:p>
    <w:p w:rsidR="00C63FF1" w:rsidRDefault="001E7994">
      <w:pPr>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lastRenderedPageBreak/>
        <w:t>第三十</w:t>
      </w:r>
      <w:r>
        <w:rPr>
          <w:rFonts w:ascii="仿宋_GB2312" w:eastAsia="仿宋_GB2312" w:hAnsi="仿宋_GB2312" w:cs="仿宋_GB2312" w:hint="eastAsia"/>
          <w:b/>
          <w:bCs/>
          <w:sz w:val="32"/>
          <w:szCs w:val="32"/>
        </w:rPr>
        <w:t>三</w:t>
      </w:r>
      <w:r>
        <w:rPr>
          <w:rFonts w:ascii="仿宋_GB2312" w:eastAsia="仿宋_GB2312" w:hAnsi="仿宋_GB2312" w:cs="仿宋_GB2312" w:hint="eastAsia"/>
          <w:b/>
          <w:bCs/>
          <w:sz w:val="32"/>
          <w:szCs w:val="32"/>
        </w:rPr>
        <w:t>条</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本办法自</w:t>
      </w:r>
      <w:r>
        <w:rPr>
          <w:rFonts w:ascii="仿宋_GB2312" w:eastAsia="仿宋_GB2312" w:hAnsi="仿宋_GB2312" w:cs="仿宋_GB2312" w:hint="eastAsia"/>
          <w:sz w:val="32"/>
          <w:szCs w:val="32"/>
        </w:rPr>
        <w:t>202</w:t>
      </w:r>
      <w:r>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日起施行。</w:t>
      </w:r>
    </w:p>
    <w:p w:rsidR="00C63FF1" w:rsidRDefault="00C63FF1">
      <w:pPr>
        <w:rPr>
          <w:rFonts w:ascii="仿宋_GB2312" w:eastAsia="仿宋_GB2312" w:hAnsi="仿宋_GB2312" w:cs="仿宋_GB2312"/>
        </w:rPr>
      </w:pPr>
    </w:p>
    <w:sectPr w:rsidR="00C63F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7994" w:rsidRDefault="001E7994" w:rsidP="00837632">
      <w:r>
        <w:separator/>
      </w:r>
    </w:p>
  </w:endnote>
  <w:endnote w:type="continuationSeparator" w:id="0">
    <w:p w:rsidR="001E7994" w:rsidRDefault="001E7994" w:rsidP="00837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Arial Unicode MS"/>
    <w:charset w:val="86"/>
    <w:family w:val="script"/>
    <w:pitch w:val="default"/>
    <w:sig w:usb0="00000000"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7994" w:rsidRDefault="001E7994" w:rsidP="00837632">
      <w:r>
        <w:separator/>
      </w:r>
    </w:p>
  </w:footnote>
  <w:footnote w:type="continuationSeparator" w:id="0">
    <w:p w:rsidR="001E7994" w:rsidRDefault="001E7994" w:rsidP="0083763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C01298"/>
    <w:rsid w:val="FFBB1B08"/>
    <w:rsid w:val="FFE59811"/>
    <w:rsid w:val="001E7994"/>
    <w:rsid w:val="00342239"/>
    <w:rsid w:val="003D53B6"/>
    <w:rsid w:val="00837632"/>
    <w:rsid w:val="00C63FF1"/>
    <w:rsid w:val="034D7E54"/>
    <w:rsid w:val="04264CCE"/>
    <w:rsid w:val="06B7256B"/>
    <w:rsid w:val="085C66AE"/>
    <w:rsid w:val="09C01298"/>
    <w:rsid w:val="0C623F62"/>
    <w:rsid w:val="0CFA72CB"/>
    <w:rsid w:val="0E7B3ACB"/>
    <w:rsid w:val="0F58138F"/>
    <w:rsid w:val="0F6D0315"/>
    <w:rsid w:val="16E905B1"/>
    <w:rsid w:val="1A3E65AC"/>
    <w:rsid w:val="1B466DB7"/>
    <w:rsid w:val="1CC66879"/>
    <w:rsid w:val="210002DC"/>
    <w:rsid w:val="22CA558D"/>
    <w:rsid w:val="23D70413"/>
    <w:rsid w:val="2C491665"/>
    <w:rsid w:val="2C5C27B0"/>
    <w:rsid w:val="2E587365"/>
    <w:rsid w:val="2F9A1639"/>
    <w:rsid w:val="30BD66E5"/>
    <w:rsid w:val="31DA62CA"/>
    <w:rsid w:val="328E1186"/>
    <w:rsid w:val="3773586D"/>
    <w:rsid w:val="38C91C5A"/>
    <w:rsid w:val="3ABD44C2"/>
    <w:rsid w:val="3AC11EAD"/>
    <w:rsid w:val="3B9266AA"/>
    <w:rsid w:val="3EBB029B"/>
    <w:rsid w:val="409C626D"/>
    <w:rsid w:val="41923340"/>
    <w:rsid w:val="449063EC"/>
    <w:rsid w:val="46AE7F81"/>
    <w:rsid w:val="481823BD"/>
    <w:rsid w:val="4DAE43BF"/>
    <w:rsid w:val="4DCF0681"/>
    <w:rsid w:val="4E3C246A"/>
    <w:rsid w:val="5113435C"/>
    <w:rsid w:val="53D27351"/>
    <w:rsid w:val="5C6656E4"/>
    <w:rsid w:val="603E3CE3"/>
    <w:rsid w:val="6298489B"/>
    <w:rsid w:val="634A47EC"/>
    <w:rsid w:val="673321F4"/>
    <w:rsid w:val="6DF910DC"/>
    <w:rsid w:val="74E523E9"/>
    <w:rsid w:val="7BAC7E41"/>
    <w:rsid w:val="7BCA3328"/>
    <w:rsid w:val="7CC237A0"/>
    <w:rsid w:val="7EFF2D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widowControl/>
      <w:spacing w:before="100" w:beforeAutospacing="1" w:after="100" w:afterAutospacing="1"/>
      <w:jc w:val="left"/>
    </w:pPr>
    <w:rPr>
      <w:rFonts w:ascii="宋体" w:hAnsi="宋体"/>
      <w:kern w:val="0"/>
      <w:sz w:val="24"/>
    </w:rPr>
  </w:style>
  <w:style w:type="paragraph" w:styleId="a4">
    <w:name w:val="header"/>
    <w:basedOn w:val="a"/>
    <w:link w:val="Char"/>
    <w:rsid w:val="0083763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37632"/>
    <w:rPr>
      <w:kern w:val="2"/>
      <w:sz w:val="18"/>
      <w:szCs w:val="18"/>
    </w:rPr>
  </w:style>
  <w:style w:type="paragraph" w:styleId="a5">
    <w:name w:val="footer"/>
    <w:basedOn w:val="a"/>
    <w:link w:val="Char0"/>
    <w:rsid w:val="00837632"/>
    <w:pPr>
      <w:tabs>
        <w:tab w:val="center" w:pos="4153"/>
        <w:tab w:val="right" w:pos="8306"/>
      </w:tabs>
      <w:snapToGrid w:val="0"/>
      <w:jc w:val="left"/>
    </w:pPr>
    <w:rPr>
      <w:sz w:val="18"/>
      <w:szCs w:val="18"/>
    </w:rPr>
  </w:style>
  <w:style w:type="character" w:customStyle="1" w:styleId="Char0">
    <w:name w:val="页脚 Char"/>
    <w:basedOn w:val="a0"/>
    <w:link w:val="a5"/>
    <w:rsid w:val="00837632"/>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widowControl/>
      <w:spacing w:before="100" w:beforeAutospacing="1" w:after="100" w:afterAutospacing="1"/>
      <w:jc w:val="left"/>
    </w:pPr>
    <w:rPr>
      <w:rFonts w:ascii="宋体" w:hAnsi="宋体"/>
      <w:kern w:val="0"/>
      <w:sz w:val="24"/>
    </w:rPr>
  </w:style>
  <w:style w:type="paragraph" w:styleId="a4">
    <w:name w:val="header"/>
    <w:basedOn w:val="a"/>
    <w:link w:val="Char"/>
    <w:rsid w:val="0083763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37632"/>
    <w:rPr>
      <w:kern w:val="2"/>
      <w:sz w:val="18"/>
      <w:szCs w:val="18"/>
    </w:rPr>
  </w:style>
  <w:style w:type="paragraph" w:styleId="a5">
    <w:name w:val="footer"/>
    <w:basedOn w:val="a"/>
    <w:link w:val="Char0"/>
    <w:rsid w:val="00837632"/>
    <w:pPr>
      <w:tabs>
        <w:tab w:val="center" w:pos="4153"/>
        <w:tab w:val="right" w:pos="8306"/>
      </w:tabs>
      <w:snapToGrid w:val="0"/>
      <w:jc w:val="left"/>
    </w:pPr>
    <w:rPr>
      <w:sz w:val="18"/>
      <w:szCs w:val="18"/>
    </w:rPr>
  </w:style>
  <w:style w:type="character" w:customStyle="1" w:styleId="Char0">
    <w:name w:val="页脚 Char"/>
    <w:basedOn w:val="a0"/>
    <w:link w:val="a5"/>
    <w:rsid w:val="00837632"/>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8</Pages>
  <Words>479</Words>
  <Characters>2736</Characters>
  <Application>Microsoft Office Word</Application>
  <DocSecurity>0</DocSecurity>
  <Lines>22</Lines>
  <Paragraphs>6</Paragraphs>
  <ScaleCrop>false</ScaleCrop>
  <Company/>
  <LinksUpToDate>false</LinksUpToDate>
  <CharactersWithSpaces>3209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谢燕</dc:creator>
  <cp:lastModifiedBy>Thinkpad</cp:lastModifiedBy>
  <cp:revision>2</cp:revision>
  <cp:lastPrinted>2021-04-29T00:41:00Z</cp:lastPrinted>
  <dcterms:created xsi:type="dcterms:W3CDTF">2021-04-02T01:26:00Z</dcterms:created>
  <dcterms:modified xsi:type="dcterms:W3CDTF">2021-04-30T02:16:00Z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